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1C" w:rsidRPr="00D40C1C" w:rsidRDefault="00D40C1C" w:rsidP="00D40C1C">
      <w:pPr>
        <w:pStyle w:val="a3"/>
        <w:spacing w:before="0" w:beforeAutospacing="0" w:after="0" w:afterAutospacing="0"/>
        <w:ind w:firstLine="709"/>
        <w:jc w:val="both"/>
        <w:rPr>
          <w:b/>
          <w:color w:val="000000"/>
          <w:sz w:val="27"/>
          <w:szCs w:val="27"/>
        </w:rPr>
      </w:pPr>
      <w:r w:rsidRPr="00D40C1C">
        <w:rPr>
          <w:b/>
          <w:color w:val="000000"/>
          <w:sz w:val="27"/>
          <w:szCs w:val="27"/>
        </w:rPr>
        <w:t>Полиция предупреждает граждан, что в последнее время участились случаи преступлений, совершенных в общественных местах. Будьте бдительны!</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Статья 158 УК РФ. Кража</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1. Кража, то есть тайное хищение чужого имущества, -</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 xml:space="preserve">наказывается штрафом в размере до восьмидесяти тысяч рублей или в размере заработной платы или </w:t>
      </w:r>
      <w:proofErr w:type="gramStart"/>
      <w:r>
        <w:rPr>
          <w:color w:val="000000"/>
          <w:sz w:val="27"/>
          <w:szCs w:val="27"/>
        </w:rPr>
        <w:t>иного дохода</w:t>
      </w:r>
      <w:proofErr w:type="gramEnd"/>
      <w:r>
        <w:rPr>
          <w:color w:val="000000"/>
          <w:sz w:val="27"/>
          <w:szCs w:val="27"/>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2. Кража, совершенная:</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а) группой лиц по предварительному сговору;</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б) с незаконным проникновением в помещение либо иное хранилище;</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в) с причинением значительного ущерба гражданину;</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г) из одежды, сумки или другой ручной клади, находившихся при потерпевшем, -</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 xml:space="preserve">наказывается штрафом в размере до двухсот тысяч рублей или в размере заработной платы или </w:t>
      </w:r>
      <w:proofErr w:type="gramStart"/>
      <w:r>
        <w:rPr>
          <w:color w:val="000000"/>
          <w:sz w:val="27"/>
          <w:szCs w:val="27"/>
        </w:rPr>
        <w:t>иного дохода</w:t>
      </w:r>
      <w:proofErr w:type="gramEnd"/>
      <w:r>
        <w:rPr>
          <w:color w:val="000000"/>
          <w:sz w:val="27"/>
          <w:szCs w:val="27"/>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Статья 20.21 КОАП РФ</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"Появление в общественных местах в состоянии опьянения".</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В данной статье, прежде всего, речь идет о сильном опьянении, когда лицо теряется в ориентирах - не понимает, куда и где идет, ложится на асфальт, принимает непристойные позы и т.д.; вид такого гражданина неопрятный, зачастую грязный, одежда может быть расстегнута, порвана, спит на детской площадке и так далее).</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Гражданин мог выпить этиловый эликсир в людном месте или дома – место употребления неважно для привлечения к ответственности по ст. 20.21 КОАП РФ, поскольку эта норма предусматривает запрет самого появления пьяного в местах потенциального нахождения других людей.</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Наказание за нахождение в общественных местах в состоянии алкогольного опьянения суровее, чем за распитие алкоголя:</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-штраф от 500 до 1500 рублей;</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-административный арест до 15 суток – назначается только постановлением суда, при этом к гражданину применяется административное задержание.</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lastRenderedPageBreak/>
        <w:t>Статья 20.6.1. Невыполнение правил поведения при чрезвычайной ситуации или угрозе ее возникновения</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6.3настоящего Кодекса, </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 xml:space="preserve">-влечет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 </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 xml:space="preserve">2. Действия (бездействие), предусмотренные частью 1настоящей статьи, повлекшие причинение вреда здоровью человека или имуществу, за исключением случаев, предусмотренных частью 3 статьи 6.3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частью 1 настоящей статьи, </w:t>
      </w:r>
    </w:p>
    <w:p w:rsidR="00D40C1C" w:rsidRDefault="00D40C1C" w:rsidP="00D40C1C">
      <w:pPr>
        <w:pStyle w:val="a3"/>
        <w:spacing w:before="0" w:beforeAutospacing="0" w:after="0" w:afterAutospacing="0"/>
        <w:ind w:firstLine="709"/>
        <w:jc w:val="both"/>
        <w:rPr>
          <w:color w:val="000000"/>
          <w:sz w:val="27"/>
          <w:szCs w:val="27"/>
        </w:rPr>
      </w:pPr>
      <w:r>
        <w:rPr>
          <w:color w:val="000000"/>
          <w:sz w:val="27"/>
          <w:szCs w:val="27"/>
        </w:rPr>
        <w:t>- 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46E6F" w:rsidRDefault="00D46E6F" w:rsidP="00D46E6F">
      <w:pPr>
        <w:pStyle w:val="a3"/>
        <w:spacing w:before="0" w:beforeAutospacing="0" w:after="0" w:afterAutospacing="0"/>
        <w:ind w:left="-567" w:firstLine="567"/>
        <w:jc w:val="both"/>
        <w:rPr>
          <w:color w:val="000000"/>
          <w:sz w:val="27"/>
          <w:szCs w:val="27"/>
        </w:rPr>
      </w:pPr>
    </w:p>
    <w:p w:rsidR="00D46E6F" w:rsidRDefault="00D46E6F" w:rsidP="00D40C1C">
      <w:pPr>
        <w:pStyle w:val="a3"/>
        <w:spacing w:before="0" w:beforeAutospacing="0" w:after="0" w:afterAutospacing="0"/>
        <w:ind w:firstLine="709"/>
        <w:jc w:val="both"/>
        <w:rPr>
          <w:color w:val="000000"/>
          <w:sz w:val="27"/>
          <w:szCs w:val="27"/>
        </w:rPr>
      </w:pPr>
    </w:p>
    <w:p w:rsidR="00D46E6F" w:rsidRDefault="00B75645" w:rsidP="00D40C1C">
      <w:pPr>
        <w:pStyle w:val="a3"/>
        <w:spacing w:before="0" w:beforeAutospacing="0" w:after="0" w:afterAutospacing="0"/>
        <w:ind w:firstLine="709"/>
        <w:jc w:val="both"/>
        <w:rPr>
          <w:color w:val="000000"/>
          <w:sz w:val="27"/>
          <w:szCs w:val="27"/>
        </w:rPr>
      </w:pPr>
      <w:r>
        <w:rPr>
          <w:noProof/>
        </w:rPr>
        <w:drawing>
          <wp:inline distT="0" distB="0" distL="0" distR="0">
            <wp:extent cx="4518476" cy="3009900"/>
            <wp:effectExtent l="0" t="0" r="0" b="0"/>
            <wp:docPr id="2" name="Рисунок 2" descr="F:\статьи\Картнки\HDeiu6-V7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атьи\Картнки\HDeiu6-V7r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9572" cy="3010630"/>
                    </a:xfrm>
                    <a:prstGeom prst="rect">
                      <a:avLst/>
                    </a:prstGeom>
                    <a:noFill/>
                    <a:ln>
                      <a:noFill/>
                    </a:ln>
                  </pic:spPr>
                </pic:pic>
              </a:graphicData>
            </a:graphic>
          </wp:inline>
        </w:drawing>
      </w:r>
      <w:bookmarkStart w:id="0" w:name="_GoBack"/>
      <w:bookmarkEnd w:id="0"/>
    </w:p>
    <w:p w:rsidR="00304781" w:rsidRDefault="00304781" w:rsidP="00D40C1C">
      <w:pPr>
        <w:spacing w:after="0" w:line="240" w:lineRule="auto"/>
        <w:ind w:firstLine="709"/>
        <w:jc w:val="both"/>
      </w:pPr>
    </w:p>
    <w:sectPr w:rsidR="00304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1C"/>
    <w:rsid w:val="00304781"/>
    <w:rsid w:val="00B75645"/>
    <w:rsid w:val="00D40C1C"/>
    <w:rsid w:val="00D4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D9508-A22B-492D-8AE3-45A596B2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C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2020-04-27T09:57:00Z</dcterms:created>
  <dcterms:modified xsi:type="dcterms:W3CDTF">2020-04-27T10:16:00Z</dcterms:modified>
</cp:coreProperties>
</file>